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5B63A9" w:rsidRPr="005B63A9" w:rsidTr="005B63A9">
        <w:tc>
          <w:tcPr>
            <w:tcW w:w="4672" w:type="dxa"/>
          </w:tcPr>
          <w:p w:rsidR="005B63A9" w:rsidRPr="005B63A9" w:rsidRDefault="005B63A9" w:rsidP="005B63A9">
            <w:pPr>
              <w:pStyle w:val="40"/>
              <w:shd w:val="clear" w:color="auto" w:fill="auto"/>
              <w:spacing w:before="0" w:after="58"/>
              <w:ind w:left="20"/>
              <w:rPr>
                <w:sz w:val="20"/>
                <w:szCs w:val="20"/>
                <w:lang w:val="de-DE"/>
              </w:rPr>
            </w:pPr>
            <w:bookmarkStart w:id="0" w:name="_GoBack"/>
            <w:r w:rsidRPr="005B63A9">
              <w:rPr>
                <w:color w:val="000000"/>
                <w:sz w:val="20"/>
                <w:szCs w:val="20"/>
                <w:lang w:val="de-DE" w:eastAsia="de-DE" w:bidi="de-DE"/>
              </w:rPr>
              <w:t>Private Grundstücksveräußerungen</w:t>
            </w:r>
          </w:p>
          <w:bookmarkEnd w:id="0"/>
          <w:p w:rsidR="005B63A9" w:rsidRPr="005B63A9" w:rsidRDefault="005B63A9" w:rsidP="005B63A9">
            <w:pPr>
              <w:pStyle w:val="20"/>
              <w:shd w:val="clear" w:color="auto" w:fill="auto"/>
              <w:spacing w:before="0" w:after="62" w:line="212" w:lineRule="exact"/>
              <w:ind w:firstLine="420"/>
              <w:jc w:val="both"/>
              <w:rPr>
                <w:sz w:val="20"/>
                <w:szCs w:val="20"/>
              </w:rPr>
            </w:pPr>
            <w:r w:rsidRPr="005B63A9">
              <w:rPr>
                <w:color w:val="000000"/>
                <w:sz w:val="20"/>
                <w:szCs w:val="20"/>
                <w:lang w:val="de-DE" w:eastAsia="de-DE" w:bidi="de-DE"/>
              </w:rPr>
              <w:t>§ 30. (1) Private Grundstücksveräußerungen sind Veräußerungsgeschäfte von Grundstücken, soweit sie keinem Betriebsvermögen angehören. Der Begriff des Grundstückes umfasst Grund und Boden, Gebäude und Rechte, die den Vorschriften des bürgerlichen Rechts über Grundstücke unterliegen (grundstücksgleiche Rechte). Bei unentgeltlich erworbenen Grundstücken ist auf den Anschaffungszeitpunkt des Rechtsvorgängers abzustellen. Bei Tauschvorgängen ist § 6 Z 14 sinngemäß anzuwenden.</w:t>
            </w:r>
          </w:p>
          <w:p w:rsidR="005B63A9" w:rsidRPr="005B63A9" w:rsidRDefault="005B63A9" w:rsidP="005B63A9">
            <w:pPr>
              <w:pStyle w:val="20"/>
              <w:numPr>
                <w:ilvl w:val="0"/>
                <w:numId w:val="1"/>
              </w:numPr>
              <w:shd w:val="clear" w:color="auto" w:fill="auto"/>
              <w:tabs>
                <w:tab w:val="left" w:pos="769"/>
              </w:tabs>
              <w:spacing w:before="0" w:after="64"/>
              <w:ind w:firstLine="420"/>
              <w:jc w:val="both"/>
              <w:rPr>
                <w:sz w:val="20"/>
                <w:szCs w:val="20"/>
                <w:lang w:val="de-DE"/>
              </w:rPr>
            </w:pPr>
            <w:r w:rsidRPr="005B63A9">
              <w:rPr>
                <w:color w:val="000000"/>
                <w:sz w:val="20"/>
                <w:szCs w:val="20"/>
                <w:lang w:val="de-DE" w:eastAsia="de-DE" w:bidi="de-DE"/>
              </w:rPr>
              <w:t>Von der Besteuerung ausgenommen sind die Einkünfte:</w:t>
            </w:r>
          </w:p>
          <w:p w:rsidR="005B63A9" w:rsidRPr="005B63A9" w:rsidRDefault="005B63A9" w:rsidP="005B63A9">
            <w:pPr>
              <w:pStyle w:val="20"/>
              <w:numPr>
                <w:ilvl w:val="0"/>
                <w:numId w:val="2"/>
              </w:numPr>
              <w:shd w:val="clear" w:color="auto" w:fill="auto"/>
              <w:tabs>
                <w:tab w:val="left" w:pos="748"/>
              </w:tabs>
              <w:spacing w:before="0" w:after="57" w:line="205" w:lineRule="exact"/>
              <w:ind w:left="700"/>
              <w:jc w:val="both"/>
              <w:rPr>
                <w:sz w:val="20"/>
                <w:szCs w:val="20"/>
                <w:lang w:val="de-DE"/>
              </w:rPr>
            </w:pPr>
            <w:r w:rsidRPr="005B63A9">
              <w:rPr>
                <w:color w:val="000000"/>
                <w:sz w:val="20"/>
                <w:szCs w:val="20"/>
                <w:lang w:val="de-DE" w:eastAsia="de-DE" w:bidi="de-DE"/>
              </w:rPr>
              <w:t xml:space="preserve">Aus der Veräußerung von Eigenheimen oder Eigentumswohnungen samt Grund und Boden (§ 18 Abs. 1 Z 3 </w:t>
            </w:r>
            <w:proofErr w:type="spellStart"/>
            <w:r w:rsidRPr="005B63A9">
              <w:rPr>
                <w:color w:val="000000"/>
                <w:sz w:val="20"/>
                <w:szCs w:val="20"/>
                <w:lang w:val="de-DE" w:eastAsia="de-DE" w:bidi="de-DE"/>
              </w:rPr>
              <w:t>lit</w:t>
            </w:r>
            <w:proofErr w:type="spellEnd"/>
            <w:r w:rsidRPr="005B63A9">
              <w:rPr>
                <w:color w:val="000000"/>
                <w:sz w:val="20"/>
                <w:szCs w:val="20"/>
                <w:lang w:val="de-DE" w:eastAsia="de-DE" w:bidi="de-DE"/>
              </w:rPr>
              <w:t>. b), wenn sie dem Veräußerer</w:t>
            </w:r>
          </w:p>
          <w:p w:rsidR="005B63A9" w:rsidRPr="005B63A9" w:rsidRDefault="005B63A9" w:rsidP="005B63A9">
            <w:pPr>
              <w:pStyle w:val="20"/>
              <w:numPr>
                <w:ilvl w:val="0"/>
                <w:numId w:val="3"/>
              </w:numPr>
              <w:shd w:val="clear" w:color="auto" w:fill="auto"/>
              <w:tabs>
                <w:tab w:val="left" w:pos="973"/>
              </w:tabs>
              <w:spacing w:before="0" w:after="54" w:line="209" w:lineRule="exact"/>
              <w:ind w:left="900"/>
              <w:jc w:val="both"/>
              <w:rPr>
                <w:sz w:val="20"/>
                <w:szCs w:val="20"/>
                <w:lang w:val="de-DE"/>
              </w:rPr>
            </w:pPr>
            <w:r w:rsidRPr="005B63A9">
              <w:rPr>
                <w:color w:val="000000"/>
                <w:sz w:val="20"/>
                <w:szCs w:val="20"/>
                <w:lang w:val="de-DE" w:eastAsia="de-DE" w:bidi="de-DE"/>
              </w:rPr>
              <w:t>ab der Anschaffung oder Herstellung (Fertigstellung) bis zur Veräußerung für mindestens zwei Jahre durchgehend als Hauptwohnsitz gedient haben und der Hauptwohnsitz aufgegeben wird oder</w:t>
            </w:r>
          </w:p>
          <w:p w:rsidR="005B63A9" w:rsidRPr="005B63A9" w:rsidRDefault="005B63A9" w:rsidP="005B63A9">
            <w:pPr>
              <w:pStyle w:val="20"/>
              <w:numPr>
                <w:ilvl w:val="0"/>
                <w:numId w:val="3"/>
              </w:numPr>
              <w:shd w:val="clear" w:color="auto" w:fill="auto"/>
              <w:tabs>
                <w:tab w:val="left" w:pos="984"/>
              </w:tabs>
              <w:spacing w:before="0" w:after="60" w:line="216" w:lineRule="exact"/>
              <w:ind w:left="900"/>
              <w:jc w:val="both"/>
              <w:rPr>
                <w:sz w:val="20"/>
                <w:szCs w:val="20"/>
                <w:lang w:val="de-DE"/>
              </w:rPr>
            </w:pPr>
            <w:proofErr w:type="gramStart"/>
            <w:r w:rsidRPr="005B63A9">
              <w:rPr>
                <w:color w:val="000000"/>
                <w:sz w:val="20"/>
                <w:szCs w:val="20"/>
                <w:lang w:val="de-DE" w:eastAsia="de-DE" w:bidi="de-DE"/>
              </w:rPr>
              <w:t>innerhalb</w:t>
            </w:r>
            <w:proofErr w:type="gramEnd"/>
            <w:r w:rsidRPr="005B63A9">
              <w:rPr>
                <w:color w:val="000000"/>
                <w:sz w:val="20"/>
                <w:szCs w:val="20"/>
                <w:lang w:val="de-DE" w:eastAsia="de-DE" w:bidi="de-DE"/>
              </w:rPr>
              <w:t xml:space="preserve"> der letzten zehn Jahre vor der Veräußerung mindestens fünf Jahre durchgehend als Hauptwohnsitz gedient haben und der Hauptwohnsitz aufgegeben wird.</w:t>
            </w:r>
          </w:p>
          <w:p w:rsidR="005B63A9" w:rsidRPr="005B63A9" w:rsidRDefault="005B63A9" w:rsidP="005B63A9">
            <w:pPr>
              <w:pStyle w:val="50"/>
              <w:numPr>
                <w:ilvl w:val="0"/>
                <w:numId w:val="2"/>
              </w:numPr>
              <w:shd w:val="clear" w:color="auto" w:fill="auto"/>
              <w:tabs>
                <w:tab w:val="left" w:pos="766"/>
              </w:tabs>
              <w:spacing w:before="0" w:after="66"/>
              <w:ind w:left="700"/>
              <w:rPr>
                <w:sz w:val="20"/>
                <w:szCs w:val="20"/>
                <w:lang w:val="de-DE"/>
              </w:rPr>
            </w:pPr>
            <w:r w:rsidRPr="005B63A9">
              <w:rPr>
                <w:color w:val="000000"/>
                <w:sz w:val="20"/>
                <w:szCs w:val="20"/>
                <w:lang w:val="de-DE" w:eastAsia="de-DE" w:bidi="de-DE"/>
              </w:rPr>
              <w:t xml:space="preserve">Aus der Veräußerung von selbst hergestellten Gebäuden, soweit sie innerhalb der letzten zehn </w:t>
            </w:r>
            <w:r w:rsidRPr="005B63A9">
              <w:rPr>
                <w:rStyle w:val="595pt"/>
                <w:sz w:val="20"/>
                <w:szCs w:val="20"/>
              </w:rPr>
              <w:t>Jahre nicht zur Erzielung von Einkünften gedient haben.</w:t>
            </w:r>
          </w:p>
          <w:p w:rsidR="005B63A9" w:rsidRPr="005B63A9" w:rsidRDefault="005B63A9" w:rsidP="005B63A9">
            <w:pPr>
              <w:pStyle w:val="20"/>
              <w:numPr>
                <w:ilvl w:val="0"/>
                <w:numId w:val="2"/>
              </w:numPr>
              <w:shd w:val="clear" w:color="auto" w:fill="auto"/>
              <w:tabs>
                <w:tab w:val="left" w:pos="766"/>
              </w:tabs>
              <w:spacing w:before="0" w:after="60" w:line="209" w:lineRule="exact"/>
              <w:ind w:left="700"/>
              <w:jc w:val="both"/>
              <w:rPr>
                <w:sz w:val="20"/>
                <w:szCs w:val="20"/>
                <w:lang w:val="de-DE"/>
              </w:rPr>
            </w:pPr>
            <w:r w:rsidRPr="005B63A9">
              <w:rPr>
                <w:color w:val="000000"/>
                <w:sz w:val="20"/>
                <w:szCs w:val="20"/>
                <w:lang w:val="de-DE" w:eastAsia="de-DE" w:bidi="de-DE"/>
              </w:rPr>
              <w:t>Aus der Veräußerung von Grundstücken infolge eines behördlichen Eingriffs oder zur Vermeidung eines solchen nachweisbar unmittelbar drohenden Eingriffs.</w:t>
            </w:r>
          </w:p>
          <w:p w:rsidR="005B63A9" w:rsidRPr="005B63A9" w:rsidRDefault="005B63A9" w:rsidP="005B63A9">
            <w:pPr>
              <w:pStyle w:val="20"/>
              <w:numPr>
                <w:ilvl w:val="0"/>
                <w:numId w:val="2"/>
              </w:numPr>
              <w:shd w:val="clear" w:color="auto" w:fill="auto"/>
              <w:tabs>
                <w:tab w:val="left" w:pos="766"/>
              </w:tabs>
              <w:spacing w:before="0" w:after="60" w:line="209" w:lineRule="exact"/>
              <w:ind w:left="700"/>
              <w:jc w:val="both"/>
              <w:rPr>
                <w:sz w:val="20"/>
                <w:szCs w:val="20"/>
                <w:lang w:val="de-DE"/>
              </w:rPr>
            </w:pPr>
            <w:r w:rsidRPr="005B63A9">
              <w:rPr>
                <w:color w:val="000000"/>
                <w:sz w:val="20"/>
                <w:szCs w:val="20"/>
                <w:lang w:val="de-DE" w:eastAsia="de-DE" w:bidi="de-DE"/>
              </w:rPr>
              <w:t xml:space="preserve">Aus Tauschvorgängen von Grundstücken im Rahmen eines Zusammenlegungs- oder Flurbereinigungsverfahrens im Sinne des Flurverfassungs-Grundsatzgesetzes 1951, </w:t>
            </w:r>
            <w:proofErr w:type="spellStart"/>
            <w:r w:rsidRPr="005B63A9">
              <w:rPr>
                <w:color w:val="000000"/>
                <w:sz w:val="20"/>
                <w:szCs w:val="20"/>
                <w:lang w:val="de-DE" w:eastAsia="de-DE" w:bidi="de-DE"/>
              </w:rPr>
              <w:t>BGBl</w:t>
            </w:r>
            <w:proofErr w:type="spellEnd"/>
            <w:r w:rsidRPr="005B63A9">
              <w:rPr>
                <w:color w:val="000000"/>
                <w:sz w:val="20"/>
                <w:szCs w:val="20"/>
                <w:lang w:val="de-DE" w:eastAsia="de-DE" w:bidi="de-DE"/>
              </w:rPr>
              <w:t>. Nr. 103/1951, sowie im Rahmen behördlicher Maßnahmen zur besseren Gestaltung von Bauland, insbesondere nach den für die bessere Gestaltung von Bauland geltenden Vorschriften. Das in solchen Verfahren erworbene Grundstück tritt hinsichtlich aller für die Ermittlung der Einkünfte relevanter Umstände an die Stelle des hingegebenen Grundstückes.</w:t>
            </w:r>
          </w:p>
          <w:p w:rsidR="005B63A9" w:rsidRPr="005B63A9" w:rsidRDefault="005B63A9" w:rsidP="005B63A9">
            <w:pPr>
              <w:pStyle w:val="20"/>
              <w:numPr>
                <w:ilvl w:val="0"/>
                <w:numId w:val="1"/>
              </w:numPr>
              <w:shd w:val="clear" w:color="auto" w:fill="auto"/>
              <w:tabs>
                <w:tab w:val="left" w:pos="727"/>
              </w:tabs>
              <w:spacing w:before="0" w:after="0" w:line="209" w:lineRule="exact"/>
              <w:ind w:firstLine="420"/>
              <w:jc w:val="both"/>
              <w:rPr>
                <w:sz w:val="20"/>
                <w:szCs w:val="20"/>
                <w:lang w:val="de-DE"/>
              </w:rPr>
            </w:pPr>
            <w:r w:rsidRPr="005B63A9">
              <w:rPr>
                <w:color w:val="000000"/>
                <w:sz w:val="20"/>
                <w:szCs w:val="20"/>
                <w:lang w:val="de-DE" w:eastAsia="de-DE" w:bidi="de-DE"/>
              </w:rPr>
              <w:t>Als Einkünfte ist der Unterschiedsbetrag zwischen dem Veräußerungserlös und den Anschaffungskosten anzusetzen. Die Anschaffungskosten sind um Herstellungsaufwendungen und Instandsetzungsaufwendungen zu erhöhen, soweit diese nicht bei der Ermittlung von Einkünften zu berücksichtigen waren. Die Anschaffungskosten sind um Absetzungen für Abnutzungen, soweit diese bei der Ermittlung von Einkünften abgezogen worden sind, sowie um die in § 28 Abs. 6 genannten steuerfreien Beträge zu vermindern. Müssen Grundstücksteile im Zuge einer Änderung der Widmung auf Grund gesetzlicher Vorgaben an die Gemeinde übertragen werden, sind die Anschaffungskosten der</w:t>
            </w:r>
          </w:p>
          <w:p w:rsidR="005B63A9" w:rsidRPr="005B63A9" w:rsidRDefault="005B63A9" w:rsidP="005B63A9">
            <w:pPr>
              <w:pStyle w:val="60"/>
              <w:shd w:val="clear" w:color="auto" w:fill="auto"/>
              <w:spacing w:after="0"/>
              <w:rPr>
                <w:sz w:val="20"/>
                <w:szCs w:val="20"/>
                <w:lang w:val="de-DE"/>
              </w:rPr>
            </w:pPr>
            <w:r w:rsidRPr="005B63A9">
              <w:rPr>
                <w:color w:val="000000"/>
                <w:sz w:val="20"/>
                <w:szCs w:val="20"/>
                <w:lang w:val="de-DE" w:eastAsia="de-DE" w:bidi="de-DE"/>
              </w:rPr>
              <w:t xml:space="preserve">M </w:t>
            </w:r>
            <w:r w:rsidRPr="005B63A9">
              <w:rPr>
                <w:rStyle w:val="2"/>
                <w:rFonts w:eastAsia="Candara"/>
                <w:sz w:val="20"/>
                <w:szCs w:val="20"/>
                <w:lang w:val="de-DE"/>
              </w:rPr>
              <w:t xml:space="preserve">verbleibenden Grundstücksteile um die Anschaffungskosten der übertragenen Grundstücksteile zu erhöhen. Die Einkünfte sind um die für die Mitteilung oder Selbstberechnung gemäß § 30c anfallenden Kosten und um anlässlich der Veräußerung entstehende </w:t>
            </w:r>
            <w:r w:rsidRPr="005B63A9">
              <w:rPr>
                <w:rStyle w:val="2"/>
                <w:rFonts w:eastAsia="Candara"/>
                <w:sz w:val="20"/>
                <w:szCs w:val="20"/>
                <w:lang w:val="de-DE"/>
              </w:rPr>
              <w:lastRenderedPageBreak/>
              <w:t>Minderbeträge aus Vorsteuerberichtigungen gemäß § 6 Z 12 zu vermindern.</w:t>
            </w:r>
          </w:p>
          <w:p w:rsidR="005B63A9" w:rsidRPr="005B63A9" w:rsidRDefault="005B63A9" w:rsidP="005B63A9">
            <w:pPr>
              <w:pStyle w:val="20"/>
              <w:numPr>
                <w:ilvl w:val="0"/>
                <w:numId w:val="1"/>
              </w:numPr>
              <w:shd w:val="clear" w:color="auto" w:fill="auto"/>
              <w:tabs>
                <w:tab w:val="left" w:pos="723"/>
              </w:tabs>
              <w:spacing w:before="0" w:after="0" w:line="220" w:lineRule="exact"/>
              <w:ind w:firstLine="440"/>
              <w:jc w:val="both"/>
              <w:rPr>
                <w:sz w:val="20"/>
                <w:szCs w:val="20"/>
                <w:lang w:val="de-DE"/>
              </w:rPr>
            </w:pPr>
            <w:r w:rsidRPr="005B63A9">
              <w:rPr>
                <w:color w:val="000000"/>
                <w:sz w:val="20"/>
                <w:szCs w:val="20"/>
                <w:lang w:val="de-DE" w:eastAsia="de-DE" w:bidi="de-DE"/>
              </w:rPr>
              <w:t>Soweit Grundstücke am 31. März 2012 ohne Berücksichtigung von Steuerbefreiungen nicht steuerverfangen waren, sind als Einkünfte anzusetzen:</w:t>
            </w:r>
          </w:p>
          <w:p w:rsidR="005B63A9" w:rsidRPr="005B63A9" w:rsidRDefault="005B63A9" w:rsidP="005B63A9">
            <w:pPr>
              <w:pStyle w:val="20"/>
              <w:shd w:val="clear" w:color="auto" w:fill="auto"/>
              <w:spacing w:before="0" w:after="0" w:line="209" w:lineRule="exact"/>
              <w:ind w:left="700"/>
              <w:jc w:val="both"/>
              <w:rPr>
                <w:sz w:val="20"/>
                <w:szCs w:val="20"/>
                <w:lang w:val="de-DE"/>
              </w:rPr>
            </w:pPr>
            <w:proofErr w:type="spellStart"/>
            <w:r w:rsidRPr="005B63A9">
              <w:rPr>
                <w:rStyle w:val="21pt"/>
                <w:sz w:val="20"/>
                <w:szCs w:val="20"/>
              </w:rPr>
              <w:t>l.Im</w:t>
            </w:r>
            <w:proofErr w:type="spellEnd"/>
            <w:r w:rsidRPr="005B63A9">
              <w:rPr>
                <w:color w:val="000000"/>
                <w:sz w:val="20"/>
                <w:szCs w:val="20"/>
                <w:lang w:val="de-DE" w:eastAsia="de-DE" w:bidi="de-DE"/>
              </w:rPr>
              <w:t xml:space="preserve"> Falle einer Umwidmung des Grundstückes nach dem 31. Dezember 1987 der Unterschiedsbetrag zwischen dem Veräußerungserlös und den mit 40% des Veräußerungserlöses anzusetzenden Anschaffungskosten. Als Umwidmung gilt eine Änderung der Widmung, die nach dem letzten entgeltlichen Erwerb stattgefunden hat und die erstmals eine Bebauung ermöglicht, die in ihrem Umfang im Wesentlichen der Widmung als Bauland oder Baufläche im Sinne der Landesgesetze auf dem Gebiet der Raumordnung entspricht. Dies gilt auch für eine in wirtschaftlichem Zusammenhang mit der Veräußerung stehende Umwidmung, wenn diese innerhalb von fünf Jahren nach der Veräußerung erfolgt ist, sowie für eine Kaufpreiserhöhung auf Grund einer späteren Umwidmung; eine spätere Umwidmung gilt als rückwirkendes Ereignis im Sinne des § 295a der Bundesabgabenordnung und ist dem Finanzamt anzuzeigen.</w:t>
            </w:r>
          </w:p>
          <w:p w:rsidR="005B63A9" w:rsidRPr="005B63A9" w:rsidRDefault="005B63A9" w:rsidP="005B63A9">
            <w:pPr>
              <w:pStyle w:val="20"/>
              <w:shd w:val="clear" w:color="auto" w:fill="auto"/>
              <w:spacing w:before="0" w:after="0" w:line="212" w:lineRule="exact"/>
              <w:ind w:left="700"/>
              <w:jc w:val="both"/>
              <w:rPr>
                <w:sz w:val="20"/>
                <w:szCs w:val="20"/>
                <w:lang w:val="de-DE"/>
              </w:rPr>
            </w:pPr>
            <w:r w:rsidRPr="005B63A9">
              <w:rPr>
                <w:color w:val="000000"/>
                <w:sz w:val="20"/>
                <w:szCs w:val="20"/>
                <w:lang w:val="de-DE" w:eastAsia="de-DE" w:bidi="de-DE"/>
              </w:rPr>
              <w:t>2. In allen übrigen Fällen der Unterschiedsbetrag zwischen dem Veräußerungserlös und den mit 86% des Veräußerungserlöses anzusetzenden Anschaffungskosten.</w:t>
            </w:r>
          </w:p>
          <w:p w:rsidR="005B63A9" w:rsidRPr="005B63A9" w:rsidRDefault="005B63A9" w:rsidP="005B63A9">
            <w:pPr>
              <w:pStyle w:val="20"/>
              <w:shd w:val="clear" w:color="auto" w:fill="auto"/>
              <w:spacing w:before="0" w:after="0" w:line="209" w:lineRule="exact"/>
              <w:ind w:firstLine="0"/>
              <w:jc w:val="both"/>
              <w:rPr>
                <w:sz w:val="20"/>
                <w:szCs w:val="20"/>
                <w:lang w:val="de-DE"/>
              </w:rPr>
            </w:pPr>
            <w:r w:rsidRPr="005B63A9">
              <w:rPr>
                <w:color w:val="000000"/>
                <w:sz w:val="20"/>
                <w:szCs w:val="20"/>
                <w:lang w:val="de-DE" w:eastAsia="de-DE" w:bidi="de-DE"/>
              </w:rPr>
              <w:t>Der Unterschiedsbetrag erhöht sich um die Hälfte der in Teilbeträgen gemäß § 28 Abs. 3 abgesetzten Herstellungsaufwendungen, soweit sie innerhalb von fünfzehn Jahren vor der Veräußerung vom Steuerpflichtigen selbst oder im Fall der unentgeltlichen Übertragung von seinem Rechtsvorgänger geltend gemacht wurden.</w:t>
            </w:r>
          </w:p>
          <w:p w:rsidR="005B63A9" w:rsidRPr="005B63A9" w:rsidRDefault="005B63A9" w:rsidP="005B63A9">
            <w:pPr>
              <w:pStyle w:val="20"/>
              <w:numPr>
                <w:ilvl w:val="0"/>
                <w:numId w:val="1"/>
              </w:numPr>
              <w:shd w:val="clear" w:color="auto" w:fill="auto"/>
              <w:tabs>
                <w:tab w:val="left" w:pos="789"/>
              </w:tabs>
              <w:spacing w:before="0" w:after="0"/>
              <w:ind w:firstLine="440"/>
              <w:jc w:val="both"/>
              <w:rPr>
                <w:sz w:val="20"/>
                <w:szCs w:val="20"/>
                <w:lang w:val="de-DE"/>
              </w:rPr>
            </w:pPr>
            <w:r w:rsidRPr="005B63A9">
              <w:rPr>
                <w:color w:val="000000"/>
                <w:sz w:val="20"/>
                <w:szCs w:val="20"/>
                <w:lang w:val="de-DE" w:eastAsia="de-DE" w:bidi="de-DE"/>
              </w:rPr>
              <w:t>Auf Antrag können die Einkünfte statt nach Abs. 4 auch nach Abs. 3 ermittelt werden.</w:t>
            </w:r>
          </w:p>
          <w:p w:rsidR="005B63A9" w:rsidRPr="005B63A9" w:rsidRDefault="005B63A9" w:rsidP="005B63A9">
            <w:pPr>
              <w:pStyle w:val="20"/>
              <w:numPr>
                <w:ilvl w:val="0"/>
                <w:numId w:val="1"/>
              </w:numPr>
              <w:shd w:val="clear" w:color="auto" w:fill="auto"/>
              <w:tabs>
                <w:tab w:val="left" w:pos="789"/>
              </w:tabs>
              <w:spacing w:before="0" w:after="0"/>
              <w:ind w:firstLine="440"/>
              <w:jc w:val="both"/>
              <w:rPr>
                <w:sz w:val="20"/>
                <w:szCs w:val="20"/>
                <w:lang w:val="de-DE"/>
              </w:rPr>
            </w:pPr>
            <w:r w:rsidRPr="005B63A9">
              <w:rPr>
                <w:color w:val="000000"/>
                <w:sz w:val="20"/>
                <w:szCs w:val="20"/>
                <w:lang w:val="de-DE" w:eastAsia="de-DE" w:bidi="de-DE"/>
              </w:rPr>
              <w:t>Für die Anwendung des Abs. 4 gilt Folgendes:</w:t>
            </w:r>
          </w:p>
          <w:p w:rsidR="005B63A9" w:rsidRPr="005B63A9" w:rsidRDefault="005B63A9" w:rsidP="005B63A9">
            <w:pPr>
              <w:pStyle w:val="20"/>
              <w:numPr>
                <w:ilvl w:val="0"/>
                <w:numId w:val="4"/>
              </w:numPr>
              <w:shd w:val="clear" w:color="auto" w:fill="auto"/>
              <w:tabs>
                <w:tab w:val="left" w:pos="770"/>
              </w:tabs>
              <w:spacing w:before="0" w:after="0" w:line="209" w:lineRule="exact"/>
              <w:ind w:left="700"/>
              <w:jc w:val="both"/>
              <w:rPr>
                <w:sz w:val="20"/>
                <w:szCs w:val="20"/>
                <w:lang w:val="de-DE"/>
              </w:rPr>
            </w:pPr>
            <w:r w:rsidRPr="005B63A9">
              <w:rPr>
                <w:color w:val="000000"/>
                <w:sz w:val="20"/>
                <w:szCs w:val="20"/>
                <w:lang w:val="de-DE" w:eastAsia="de-DE" w:bidi="de-DE"/>
              </w:rPr>
              <w:t xml:space="preserve">Wurde bei einem Grundstück die Absetzung für Abnutzung gemäß § 16 Abs. 1 Z 8 von den fiktiven Anschaffungskosten bemessen und war es zum 31. März 2012 nicht mehr steuerverfangen, sind die Einkünfte für Wertveränderungen vor und ab der erstmaligen Nutzung zur </w:t>
            </w:r>
            <w:proofErr w:type="spellStart"/>
            <w:r w:rsidRPr="005B63A9">
              <w:rPr>
                <w:color w:val="000000"/>
                <w:sz w:val="20"/>
                <w:szCs w:val="20"/>
                <w:lang w:val="de-DE" w:eastAsia="de-DE" w:bidi="de-DE"/>
              </w:rPr>
              <w:t>Einkünfteerzielung</w:t>
            </w:r>
            <w:proofErr w:type="spellEnd"/>
            <w:r w:rsidRPr="005B63A9">
              <w:rPr>
                <w:color w:val="000000"/>
                <w:sz w:val="20"/>
                <w:szCs w:val="20"/>
                <w:lang w:val="de-DE" w:eastAsia="de-DE" w:bidi="de-DE"/>
              </w:rPr>
              <w:t xml:space="preserve"> gesondert zu ermitteln:</w:t>
            </w:r>
          </w:p>
          <w:p w:rsidR="005B63A9" w:rsidRPr="005B63A9" w:rsidRDefault="005B63A9" w:rsidP="005B63A9">
            <w:pPr>
              <w:pStyle w:val="20"/>
              <w:shd w:val="clear" w:color="auto" w:fill="auto"/>
              <w:spacing w:before="0" w:after="0" w:line="212" w:lineRule="exact"/>
              <w:ind w:left="900"/>
              <w:rPr>
                <w:sz w:val="20"/>
                <w:szCs w:val="20"/>
                <w:lang w:val="de-DE"/>
              </w:rPr>
            </w:pPr>
            <w:r w:rsidRPr="005B63A9">
              <w:rPr>
                <w:color w:val="000000"/>
                <w:sz w:val="20"/>
                <w:szCs w:val="20"/>
                <w:lang w:val="de-DE" w:eastAsia="de-DE" w:bidi="de-DE"/>
              </w:rPr>
              <w:t xml:space="preserve">— Für Wertveränderungen bis zum Beginn der </w:t>
            </w:r>
            <w:proofErr w:type="spellStart"/>
            <w:r w:rsidRPr="005B63A9">
              <w:rPr>
                <w:color w:val="000000"/>
                <w:sz w:val="20"/>
                <w:szCs w:val="20"/>
                <w:lang w:val="de-DE" w:eastAsia="de-DE" w:bidi="de-DE"/>
              </w:rPr>
              <w:t>Einkünfteerzielung</w:t>
            </w:r>
            <w:proofErr w:type="spellEnd"/>
            <w:r w:rsidRPr="005B63A9">
              <w:rPr>
                <w:color w:val="000000"/>
                <w:sz w:val="20"/>
                <w:szCs w:val="20"/>
                <w:lang w:val="de-DE" w:eastAsia="de-DE" w:bidi="de-DE"/>
              </w:rPr>
              <w:t xml:space="preserve"> kann Abs. 4 angewendet werden, wobei an Stelle des Veräußerungserlöses die fiktiven Anschaffungskosten treten.</w:t>
            </w:r>
          </w:p>
          <w:p w:rsidR="005B63A9" w:rsidRPr="005B63A9" w:rsidRDefault="005B63A9" w:rsidP="005B63A9">
            <w:pPr>
              <w:pStyle w:val="20"/>
              <w:shd w:val="clear" w:color="auto" w:fill="auto"/>
              <w:spacing w:before="0" w:after="0" w:line="209" w:lineRule="exact"/>
              <w:ind w:left="900"/>
              <w:rPr>
                <w:sz w:val="20"/>
                <w:szCs w:val="20"/>
                <w:lang w:val="de-DE"/>
              </w:rPr>
            </w:pPr>
            <w:r w:rsidRPr="005B63A9">
              <w:rPr>
                <w:color w:val="000000"/>
                <w:sz w:val="20"/>
                <w:szCs w:val="20"/>
                <w:lang w:val="de-DE" w:eastAsia="de-DE" w:bidi="de-DE"/>
              </w:rPr>
              <w:t xml:space="preserve">- Wertveränderungen ab dem Beginn der </w:t>
            </w:r>
            <w:proofErr w:type="spellStart"/>
            <w:r w:rsidRPr="005B63A9">
              <w:rPr>
                <w:color w:val="000000"/>
                <w:sz w:val="20"/>
                <w:szCs w:val="20"/>
                <w:lang w:val="de-DE" w:eastAsia="de-DE" w:bidi="de-DE"/>
              </w:rPr>
              <w:t>Einkünfteerzielung</w:t>
            </w:r>
            <w:proofErr w:type="spellEnd"/>
            <w:r w:rsidRPr="005B63A9">
              <w:rPr>
                <w:color w:val="000000"/>
                <w:sz w:val="20"/>
                <w:szCs w:val="20"/>
                <w:lang w:val="de-DE" w:eastAsia="de-DE" w:bidi="de-DE"/>
              </w:rPr>
              <w:t xml:space="preserve"> sind nach Abs. 3 zu ermitteln, wobei an Stelle der tatsächlichen Anschaffungskosten die fiktiven Anschaffungskosten treten.</w:t>
            </w:r>
          </w:p>
          <w:p w:rsidR="005B63A9" w:rsidRPr="005B63A9" w:rsidRDefault="005B63A9" w:rsidP="005B63A9">
            <w:pPr>
              <w:pStyle w:val="20"/>
              <w:numPr>
                <w:ilvl w:val="0"/>
                <w:numId w:val="4"/>
              </w:numPr>
              <w:shd w:val="clear" w:color="auto" w:fill="auto"/>
              <w:tabs>
                <w:tab w:val="left" w:pos="780"/>
              </w:tabs>
              <w:spacing w:before="0" w:after="0" w:line="212" w:lineRule="exact"/>
              <w:ind w:left="700"/>
              <w:jc w:val="both"/>
              <w:rPr>
                <w:sz w:val="20"/>
                <w:szCs w:val="20"/>
                <w:lang w:val="de-DE"/>
              </w:rPr>
            </w:pPr>
            <w:r w:rsidRPr="005B63A9">
              <w:rPr>
                <w:color w:val="000000"/>
                <w:sz w:val="20"/>
                <w:szCs w:val="20"/>
                <w:lang w:val="de-DE" w:eastAsia="de-DE" w:bidi="de-DE"/>
              </w:rPr>
              <w:t xml:space="preserve">Werden gemäß §4 Abs. 10 Z3 </w:t>
            </w:r>
            <w:proofErr w:type="spellStart"/>
            <w:r w:rsidRPr="005B63A9">
              <w:rPr>
                <w:color w:val="000000"/>
                <w:sz w:val="20"/>
                <w:szCs w:val="20"/>
                <w:lang w:val="de-DE" w:eastAsia="de-DE" w:bidi="de-DE"/>
              </w:rPr>
              <w:t>lit</w:t>
            </w:r>
            <w:proofErr w:type="spellEnd"/>
            <w:r w:rsidRPr="005B63A9">
              <w:rPr>
                <w:color w:val="000000"/>
                <w:sz w:val="20"/>
                <w:szCs w:val="20"/>
                <w:lang w:val="de-DE" w:eastAsia="de-DE" w:bidi="de-DE"/>
              </w:rPr>
              <w:t xml:space="preserve">. </w:t>
            </w:r>
            <w:proofErr w:type="gramStart"/>
            <w:r w:rsidRPr="005B63A9">
              <w:rPr>
                <w:color w:val="000000"/>
                <w:sz w:val="20"/>
                <w:szCs w:val="20"/>
                <w:lang w:val="de-DE" w:eastAsia="de-DE" w:bidi="de-DE"/>
              </w:rPr>
              <w:t>a</w:t>
            </w:r>
            <w:proofErr w:type="gramEnd"/>
            <w:r w:rsidRPr="005B63A9">
              <w:rPr>
                <w:color w:val="000000"/>
                <w:sz w:val="20"/>
                <w:szCs w:val="20"/>
                <w:lang w:val="de-DE" w:eastAsia="de-DE" w:bidi="de-DE"/>
              </w:rPr>
              <w:t xml:space="preserve"> in der Fassung vor dem 1. Stabilitätsgesetz, </w:t>
            </w:r>
            <w:proofErr w:type="spellStart"/>
            <w:r w:rsidRPr="005B63A9">
              <w:rPr>
                <w:color w:val="000000"/>
                <w:sz w:val="20"/>
                <w:szCs w:val="20"/>
                <w:lang w:val="de-DE" w:eastAsia="de-DE" w:bidi="de-DE"/>
              </w:rPr>
              <w:t>BGBl</w:t>
            </w:r>
            <w:proofErr w:type="spellEnd"/>
            <w:r w:rsidRPr="005B63A9">
              <w:rPr>
                <w:color w:val="000000"/>
                <w:sz w:val="20"/>
                <w:szCs w:val="20"/>
                <w:lang w:val="de-DE" w:eastAsia="de-DE" w:bidi="de-DE"/>
              </w:rPr>
              <w:t xml:space="preserve">. I Nr. 22/2012, auf- oder abgewertete Grundstücke entnommen, gilt bei deren Veräußerung §4 Abs. 3a Z 3 </w:t>
            </w:r>
            <w:proofErr w:type="spellStart"/>
            <w:r w:rsidRPr="005B63A9">
              <w:rPr>
                <w:color w:val="000000"/>
                <w:sz w:val="20"/>
                <w:szCs w:val="20"/>
                <w:lang w:val="de-DE" w:eastAsia="de-DE" w:bidi="de-DE"/>
              </w:rPr>
              <w:t>lit</w:t>
            </w:r>
            <w:proofErr w:type="spellEnd"/>
            <w:r w:rsidRPr="005B63A9">
              <w:rPr>
                <w:color w:val="000000"/>
                <w:sz w:val="20"/>
                <w:szCs w:val="20"/>
                <w:lang w:val="de-DE" w:eastAsia="de-DE" w:bidi="de-DE"/>
              </w:rPr>
              <w:t>. c sinngemäß.</w:t>
            </w:r>
          </w:p>
          <w:p w:rsidR="005B63A9" w:rsidRPr="005B63A9" w:rsidRDefault="005B63A9" w:rsidP="005B63A9">
            <w:pPr>
              <w:pStyle w:val="20"/>
              <w:numPr>
                <w:ilvl w:val="0"/>
                <w:numId w:val="4"/>
              </w:numPr>
              <w:shd w:val="clear" w:color="auto" w:fill="auto"/>
              <w:tabs>
                <w:tab w:val="left" w:pos="780"/>
              </w:tabs>
              <w:spacing w:before="0" w:after="0" w:line="209" w:lineRule="exact"/>
              <w:ind w:left="700"/>
              <w:jc w:val="both"/>
              <w:rPr>
                <w:sz w:val="20"/>
                <w:szCs w:val="20"/>
                <w:lang w:val="de-DE"/>
              </w:rPr>
            </w:pPr>
            <w:r w:rsidRPr="005B63A9">
              <w:rPr>
                <w:color w:val="000000"/>
                <w:sz w:val="20"/>
                <w:szCs w:val="20"/>
                <w:lang w:val="de-DE" w:eastAsia="de-DE" w:bidi="de-DE"/>
              </w:rPr>
              <w:t xml:space="preserve">Bei der Veräußerung eines aus einem Betriebsvermögen entnommenen Grundstückes, das mit dem Teilwert eingelegt worden ist, gilt der Unterschieds betrag zwischen dem Teilwert im Einlagezeitpunkt </w:t>
            </w:r>
            <w:r w:rsidRPr="005B63A9">
              <w:rPr>
                <w:color w:val="000000"/>
                <w:sz w:val="20"/>
                <w:szCs w:val="20"/>
                <w:lang w:val="de-DE" w:eastAsia="de-DE" w:bidi="de-DE"/>
              </w:rPr>
              <w:lastRenderedPageBreak/>
              <w:t>und den Anschaffungs- oder Herstellungskosten als Einkünfte aus privaten Grundstücksveräußerungen. Als Veräußerungserlös gilt der Teilwert im Einlagezeitpunkt. Soweit das Grundstück zum 31. März 2012 nicht steuerverfangen war oder es ohne Einlage nicht mehr steuerverfangen gewesen wäre, kann § 30 Abs. 4 angewendet werden.</w:t>
            </w:r>
          </w:p>
          <w:p w:rsidR="005B63A9" w:rsidRPr="005B63A9" w:rsidRDefault="005B63A9" w:rsidP="005B63A9">
            <w:pPr>
              <w:pStyle w:val="20"/>
              <w:numPr>
                <w:ilvl w:val="0"/>
                <w:numId w:val="1"/>
              </w:numPr>
              <w:shd w:val="clear" w:color="auto" w:fill="auto"/>
              <w:tabs>
                <w:tab w:val="left" w:pos="727"/>
              </w:tabs>
              <w:spacing w:before="0" w:after="0" w:line="209" w:lineRule="exact"/>
              <w:ind w:firstLine="440"/>
              <w:jc w:val="both"/>
              <w:rPr>
                <w:sz w:val="20"/>
                <w:szCs w:val="20"/>
                <w:lang w:val="de-DE"/>
              </w:rPr>
            </w:pPr>
            <w:r w:rsidRPr="005B63A9">
              <w:rPr>
                <w:color w:val="000000"/>
                <w:sz w:val="20"/>
                <w:szCs w:val="20"/>
                <w:lang w:val="de-DE" w:eastAsia="de-DE" w:bidi="de-DE"/>
              </w:rPr>
              <w:t>Führen private Grundstücksveräußerungen, auf die der besondere Steuersatz gemäß § 30a Abs. 1 anwendbar ist, in einem Kalenderjahr insgesamt zu einem Verlust, ist dieser auf 60% zu kürzen und gleichmäßig auf das Jahr der Verlustentstehung und die folgenden vierzehn Jahre zu verteilen und ausschließlich mit Einkünften aus Vermietung und Verpachtung auszugleichen. Der Steuerpflichtige kann in der Steuererklärung beantragen, dass stattdessen dieser gekürzte Verlust im Verlustentstehungsjahr mit Einkünften aus Vermietung und Verpachtung ausgeglichen wird. Diese Regelungen gelten auch im Falle der Ausübung der Regelbesteuerungsoption (§ 30a Abs. 2).</w:t>
            </w:r>
          </w:p>
          <w:p w:rsidR="005B63A9" w:rsidRPr="005B63A9" w:rsidRDefault="005B63A9" w:rsidP="005B63A9">
            <w:pPr>
              <w:pStyle w:val="20"/>
              <w:numPr>
                <w:ilvl w:val="0"/>
                <w:numId w:val="1"/>
              </w:numPr>
              <w:shd w:val="clear" w:color="auto" w:fill="auto"/>
              <w:tabs>
                <w:tab w:val="left" w:pos="730"/>
              </w:tabs>
              <w:spacing w:before="0" w:after="0" w:line="209" w:lineRule="exact"/>
              <w:ind w:firstLine="440"/>
              <w:jc w:val="both"/>
              <w:rPr>
                <w:sz w:val="20"/>
                <w:szCs w:val="20"/>
                <w:lang w:val="de-DE"/>
              </w:rPr>
            </w:pPr>
            <w:r w:rsidRPr="005B63A9">
              <w:rPr>
                <w:color w:val="000000"/>
                <w:sz w:val="20"/>
                <w:szCs w:val="20"/>
                <w:lang w:val="de-DE" w:eastAsia="de-DE" w:bidi="de-DE"/>
              </w:rPr>
              <w:t>Die Einkommensteuer, die auf Grundstücksveräußerungen entfällt, wird im Ausmaß der sonst entstehenden Doppelbelastung der Einkünfte aus Grundstücksveräußerungen auf Antrag ermäßigt oder erlassen, wenn der Steuerpflichtige infolge des unentgeltlichen Erwerbes der Grundstücke innerhalb der letzten drei Jahre Erbschafts- oder Schenkungssteuer, Grunderwerbsteuer oder Stiftungseingangssteuer entrichtet hat.</w:t>
            </w:r>
          </w:p>
          <w:p w:rsidR="005B63A9" w:rsidRPr="005B63A9" w:rsidRDefault="005B63A9">
            <w:pPr>
              <w:rPr>
                <w:sz w:val="20"/>
                <w:szCs w:val="20"/>
                <w:lang w:val="de-DE"/>
              </w:rPr>
            </w:pPr>
          </w:p>
        </w:tc>
        <w:tc>
          <w:tcPr>
            <w:tcW w:w="4673" w:type="dxa"/>
          </w:tcPr>
          <w:p w:rsidR="005B63A9" w:rsidRPr="005B63A9" w:rsidRDefault="005B63A9" w:rsidP="005B63A9">
            <w:pPr>
              <w:jc w:val="center"/>
              <w:rPr>
                <w:b/>
                <w:sz w:val="20"/>
                <w:szCs w:val="20"/>
              </w:rPr>
            </w:pPr>
            <w:r w:rsidRPr="005B63A9">
              <w:rPr>
                <w:b/>
                <w:sz w:val="20"/>
                <w:szCs w:val="20"/>
              </w:rPr>
              <w:lastRenderedPageBreak/>
              <w:t>Частное отчуждение земельного участка</w:t>
            </w:r>
          </w:p>
          <w:p w:rsidR="005B63A9" w:rsidRPr="005B63A9" w:rsidRDefault="005B63A9" w:rsidP="005B63A9">
            <w:pPr>
              <w:rPr>
                <w:sz w:val="20"/>
                <w:szCs w:val="20"/>
              </w:rPr>
            </w:pPr>
            <w:r w:rsidRPr="005B63A9">
              <w:rPr>
                <w:sz w:val="20"/>
                <w:szCs w:val="20"/>
              </w:rPr>
              <w:t>§ 30. (1) Частное отчуждение земельного участка это сделка отчуждения земельного участка, если он не является имуществом предприятия. Понятие «земельный участок» включает в себя земельные владения, здания и права, которые подлежат предписаниям гражданского права о земельных участках (права, подчиняющиеся правовому режиму земельных участков). Что касается полученных бесплатно земельных участков, то на момент их получения нужно подтвердить это юридически. При обмене используется § 6 п. 14 соответственно.</w:t>
            </w:r>
          </w:p>
          <w:p w:rsidR="005B63A9" w:rsidRPr="005B63A9" w:rsidRDefault="005B63A9" w:rsidP="005B63A9">
            <w:pPr>
              <w:rPr>
                <w:sz w:val="20"/>
                <w:szCs w:val="20"/>
              </w:rPr>
            </w:pPr>
            <w:r w:rsidRPr="005B63A9">
              <w:rPr>
                <w:sz w:val="20"/>
                <w:szCs w:val="20"/>
              </w:rPr>
              <w:t>(2) От налогов освобождаются доходы:</w:t>
            </w:r>
          </w:p>
          <w:p w:rsidR="005B63A9" w:rsidRPr="005B63A9" w:rsidRDefault="005B63A9" w:rsidP="005B63A9">
            <w:pPr>
              <w:rPr>
                <w:sz w:val="20"/>
                <w:szCs w:val="20"/>
              </w:rPr>
            </w:pPr>
            <w:r w:rsidRPr="005B63A9">
              <w:rPr>
                <w:sz w:val="20"/>
                <w:szCs w:val="20"/>
              </w:rPr>
              <w:t>1. От продажи дома или квартиры, включая землю (§ 18 п. 1 по 3 б), если субъекту, осуществляющему отчуждение,</w:t>
            </w:r>
          </w:p>
          <w:p w:rsidR="005B63A9" w:rsidRPr="005B63A9" w:rsidRDefault="005B63A9" w:rsidP="005B63A9">
            <w:pPr>
              <w:rPr>
                <w:sz w:val="20"/>
                <w:szCs w:val="20"/>
              </w:rPr>
            </w:pPr>
            <w:proofErr w:type="gramStart"/>
            <w:r w:rsidRPr="005B63A9">
              <w:rPr>
                <w:sz w:val="20"/>
                <w:szCs w:val="20"/>
              </w:rPr>
              <w:t>а</w:t>
            </w:r>
            <w:proofErr w:type="gramEnd"/>
            <w:r w:rsidRPr="005B63A9">
              <w:rPr>
                <w:sz w:val="20"/>
                <w:szCs w:val="20"/>
              </w:rPr>
              <w:t>) с момента приобретения или постройки (окончания работ) и до момента продажи этот объект был основным местом проживания минимум 2 года и потом это место стало не основным местом жительства или</w:t>
            </w:r>
          </w:p>
          <w:p w:rsidR="005B63A9" w:rsidRPr="005B63A9" w:rsidRDefault="005B63A9" w:rsidP="005B63A9">
            <w:pPr>
              <w:rPr>
                <w:sz w:val="20"/>
                <w:szCs w:val="20"/>
              </w:rPr>
            </w:pPr>
            <w:proofErr w:type="gramStart"/>
            <w:r w:rsidRPr="005B63A9">
              <w:rPr>
                <w:sz w:val="20"/>
                <w:szCs w:val="20"/>
              </w:rPr>
              <w:t>б</w:t>
            </w:r>
            <w:proofErr w:type="gramEnd"/>
            <w:r w:rsidRPr="005B63A9">
              <w:rPr>
                <w:sz w:val="20"/>
                <w:szCs w:val="20"/>
              </w:rPr>
              <w:t>) это место за последние 10 лет служило основным местом жительства минимум 5 лет и потом это место стало не основным местом жительства.</w:t>
            </w:r>
          </w:p>
          <w:p w:rsidR="005B63A9" w:rsidRPr="005B63A9" w:rsidRDefault="005B63A9" w:rsidP="005B63A9">
            <w:pPr>
              <w:rPr>
                <w:sz w:val="20"/>
                <w:szCs w:val="20"/>
              </w:rPr>
            </w:pPr>
            <w:r w:rsidRPr="005B63A9">
              <w:rPr>
                <w:sz w:val="20"/>
                <w:szCs w:val="20"/>
              </w:rPr>
              <w:t>2. От продажи здания, которое строил владелец, и если последние 10 лет оно не было источником дохода.</w:t>
            </w:r>
          </w:p>
          <w:p w:rsidR="005B63A9" w:rsidRPr="005B63A9" w:rsidRDefault="005B63A9" w:rsidP="005B63A9">
            <w:pPr>
              <w:rPr>
                <w:sz w:val="20"/>
                <w:szCs w:val="20"/>
              </w:rPr>
            </w:pPr>
            <w:r w:rsidRPr="005B63A9">
              <w:rPr>
                <w:sz w:val="20"/>
                <w:szCs w:val="20"/>
              </w:rPr>
              <w:t>3. От продажи земельного участка в результате судебного вмешательства или для избегания такого вмешательства, которое непосредственно имеет место.</w:t>
            </w:r>
          </w:p>
          <w:p w:rsidR="005B63A9" w:rsidRPr="005B63A9" w:rsidRDefault="005B63A9" w:rsidP="005B63A9">
            <w:pPr>
              <w:rPr>
                <w:sz w:val="20"/>
                <w:szCs w:val="20"/>
              </w:rPr>
            </w:pPr>
            <w:r w:rsidRPr="005B63A9">
              <w:rPr>
                <w:sz w:val="20"/>
                <w:szCs w:val="20"/>
              </w:rPr>
              <w:t xml:space="preserve">4. От обмена земельными участками в рамках процесса консолидации земельных участков или процесса переустройства земель согласно основному закону о процессах переустройства земель 1951, Вестник федерального законодательства № 103/1951, а также в рамках мер органов власти для улучшения управлением участка под застройку, в частности согласно предписаниям об улучшениях управления участков под застройку. Земельный участок, приобретенный в таком процессе, стает относительно всех соответствующих обстоятельств для получения сведений о доходах на место переданного земельного участка. </w:t>
            </w:r>
          </w:p>
          <w:p w:rsidR="005B63A9" w:rsidRPr="005B63A9" w:rsidRDefault="005B63A9" w:rsidP="005B63A9">
            <w:pPr>
              <w:rPr>
                <w:sz w:val="20"/>
                <w:szCs w:val="20"/>
              </w:rPr>
            </w:pPr>
            <w:r w:rsidRPr="005B63A9">
              <w:rPr>
                <w:sz w:val="20"/>
                <w:szCs w:val="20"/>
              </w:rPr>
              <w:t xml:space="preserve">(3) Доходами считается разница проходящих по счетам сумм между выручкой от продажи и стоимостью приобретения. Стоимость приобретения должна быть увеличена в соответствии с затратами на производство и затратами на ремонт, если они не принимались во внимание при получении сведений о доходах. Стоимость приобретения уменьшается соответственно с объемом устранения износа, если они не были приняты во внимание при получении сведений о доходах, а также необлагаемые налогом суммы, указанные в § 28 п. 6. Если в ходе </w:t>
            </w:r>
            <w:proofErr w:type="gramStart"/>
            <w:r w:rsidRPr="005B63A9">
              <w:rPr>
                <w:sz w:val="20"/>
                <w:szCs w:val="20"/>
              </w:rPr>
              <w:lastRenderedPageBreak/>
              <w:t>изменения</w:t>
            </w:r>
            <w:proofErr w:type="gramEnd"/>
            <w:r w:rsidRPr="005B63A9">
              <w:rPr>
                <w:sz w:val="20"/>
                <w:szCs w:val="20"/>
              </w:rPr>
              <w:t xml:space="preserve"> целевого назначения в соответствии с требованиями законодательства часть земельного участка должна быть передана городским властям, то стоимость приобретения оставшейся части земельного участка увеличивается на сумму стоимости переданной части участка. Доходы уменьшаются на сумму затрат для уведомления или вычисления налогоплательщиком размера налога, подлежащего уплате согласно § 30 в и возникшие в ходе продажи недостающие суммы связанные с исправлением предварительного вычета налогов из суммы доходов согласно § 6 п. 12. </w:t>
            </w:r>
          </w:p>
          <w:p w:rsidR="005B63A9" w:rsidRPr="005B63A9" w:rsidRDefault="005B63A9" w:rsidP="005B63A9">
            <w:pPr>
              <w:rPr>
                <w:sz w:val="20"/>
                <w:szCs w:val="20"/>
              </w:rPr>
            </w:pPr>
            <w:r w:rsidRPr="005B63A9">
              <w:rPr>
                <w:sz w:val="20"/>
                <w:szCs w:val="20"/>
              </w:rPr>
              <w:t>(4) Если по состоянию на 31 марта 2012 земельные участки не облагались налогом без принятия во внимание освобождения от уплаты налогов, то они расцениваются в качестве доходов:</w:t>
            </w:r>
          </w:p>
          <w:p w:rsidR="005B63A9" w:rsidRPr="005B63A9" w:rsidRDefault="005B63A9" w:rsidP="005B63A9">
            <w:pPr>
              <w:rPr>
                <w:sz w:val="20"/>
                <w:szCs w:val="20"/>
              </w:rPr>
            </w:pPr>
            <w:r w:rsidRPr="005B63A9">
              <w:rPr>
                <w:sz w:val="20"/>
                <w:szCs w:val="20"/>
              </w:rPr>
              <w:t xml:space="preserve">1. В случае </w:t>
            </w:r>
            <w:proofErr w:type="spellStart"/>
            <w:r w:rsidRPr="005B63A9">
              <w:rPr>
                <w:sz w:val="20"/>
                <w:szCs w:val="20"/>
              </w:rPr>
              <w:t>перенацеливания</w:t>
            </w:r>
            <w:proofErr w:type="spellEnd"/>
            <w:r w:rsidRPr="005B63A9">
              <w:rPr>
                <w:sz w:val="20"/>
                <w:szCs w:val="20"/>
              </w:rPr>
              <w:t xml:space="preserve"> земельного участка после 31 декабря 1987 разница проходящих по счетам сумм между выручкой от продажи и стоимостью приобретения, замененная 40% выручки от продажи. </w:t>
            </w:r>
            <w:proofErr w:type="spellStart"/>
            <w:r w:rsidRPr="005B63A9">
              <w:rPr>
                <w:sz w:val="20"/>
                <w:szCs w:val="20"/>
              </w:rPr>
              <w:t>Перенацеливанием</w:t>
            </w:r>
            <w:proofErr w:type="spellEnd"/>
            <w:r w:rsidRPr="005B63A9">
              <w:rPr>
                <w:sz w:val="20"/>
                <w:szCs w:val="20"/>
              </w:rPr>
              <w:t xml:space="preserve"> считается изменение целевого назначения, которое состоялось после последнего платного приобретения, и, прежде всего, это делает возможным застраивание, которое по своим объемам, по сути, соответствует целевому назначению, как место под застройку согласно законодательству земель в области планирования землепользования. Это касается и </w:t>
            </w:r>
            <w:proofErr w:type="spellStart"/>
            <w:r w:rsidRPr="005B63A9">
              <w:rPr>
                <w:sz w:val="20"/>
                <w:szCs w:val="20"/>
              </w:rPr>
              <w:t>перенацеливания</w:t>
            </w:r>
            <w:proofErr w:type="spellEnd"/>
            <w:r w:rsidRPr="005B63A9">
              <w:rPr>
                <w:sz w:val="20"/>
                <w:szCs w:val="20"/>
              </w:rPr>
              <w:t xml:space="preserve">, связанного экономическими связями с продажей, если оно осуществляется на протяжении 5 лет после продажи, а также для повышения стоимости при продаже в связи с последующим </w:t>
            </w:r>
            <w:proofErr w:type="spellStart"/>
            <w:r w:rsidRPr="005B63A9">
              <w:rPr>
                <w:sz w:val="20"/>
                <w:szCs w:val="20"/>
              </w:rPr>
              <w:t>перенацеливанием</w:t>
            </w:r>
            <w:proofErr w:type="spellEnd"/>
            <w:r w:rsidRPr="005B63A9">
              <w:rPr>
                <w:sz w:val="20"/>
                <w:szCs w:val="20"/>
              </w:rPr>
              <w:t xml:space="preserve">; последующее </w:t>
            </w:r>
            <w:proofErr w:type="spellStart"/>
            <w:r w:rsidRPr="005B63A9">
              <w:rPr>
                <w:sz w:val="20"/>
                <w:szCs w:val="20"/>
              </w:rPr>
              <w:t>перенацеливание</w:t>
            </w:r>
            <w:proofErr w:type="spellEnd"/>
            <w:r w:rsidRPr="005B63A9">
              <w:rPr>
                <w:sz w:val="20"/>
                <w:szCs w:val="20"/>
              </w:rPr>
              <w:t xml:space="preserve"> считается процессом обратного действия согласно § 295a федерального положения о налогах и сборах и о нем нужно извещать налоговую службу. </w:t>
            </w:r>
          </w:p>
          <w:p w:rsidR="005B63A9" w:rsidRPr="005B63A9" w:rsidRDefault="005B63A9" w:rsidP="005B63A9">
            <w:pPr>
              <w:rPr>
                <w:sz w:val="20"/>
                <w:szCs w:val="20"/>
              </w:rPr>
            </w:pPr>
            <w:r w:rsidRPr="005B63A9">
              <w:rPr>
                <w:sz w:val="20"/>
                <w:szCs w:val="20"/>
              </w:rPr>
              <w:t xml:space="preserve">2. Во всех остальных случаях разница проходящих по счетам сумм между выручкой от продажи и стоимостью приобретения, замененной 86% выручки от продаж. Разница проходящих по счетам сумм увеличивается на половину частичного платежа согласно § 28 п. 3 с затрат на строительство, если они были предъявлены на протяжении 15 лет до продажи самим налогоплательщиком или в случае бесплатной передачи его </w:t>
            </w:r>
            <w:proofErr w:type="spellStart"/>
            <w:r w:rsidRPr="005B63A9">
              <w:rPr>
                <w:sz w:val="20"/>
                <w:szCs w:val="20"/>
              </w:rPr>
              <w:t>правопредшественником</w:t>
            </w:r>
            <w:proofErr w:type="spellEnd"/>
            <w:r w:rsidRPr="005B63A9">
              <w:rPr>
                <w:sz w:val="20"/>
                <w:szCs w:val="20"/>
              </w:rPr>
              <w:t xml:space="preserve">. </w:t>
            </w:r>
          </w:p>
          <w:p w:rsidR="005B63A9" w:rsidRPr="005B63A9" w:rsidRDefault="005B63A9" w:rsidP="005B63A9">
            <w:pPr>
              <w:rPr>
                <w:sz w:val="20"/>
                <w:szCs w:val="20"/>
              </w:rPr>
            </w:pPr>
            <w:r w:rsidRPr="005B63A9">
              <w:rPr>
                <w:sz w:val="20"/>
                <w:szCs w:val="20"/>
              </w:rPr>
              <w:t>(5) По требованию налоги могут устанавливаться согласно п. 3 вместо п. 4.</w:t>
            </w:r>
          </w:p>
          <w:p w:rsidR="005B63A9" w:rsidRPr="005B63A9" w:rsidRDefault="005B63A9" w:rsidP="005B63A9">
            <w:pPr>
              <w:rPr>
                <w:sz w:val="20"/>
                <w:szCs w:val="20"/>
              </w:rPr>
            </w:pPr>
            <w:r w:rsidRPr="005B63A9">
              <w:rPr>
                <w:sz w:val="20"/>
                <w:szCs w:val="20"/>
              </w:rPr>
              <w:t>(6) Для применения п. 4 действует следующее:</w:t>
            </w:r>
          </w:p>
          <w:p w:rsidR="005B63A9" w:rsidRPr="005B63A9" w:rsidRDefault="005B63A9" w:rsidP="005B63A9">
            <w:pPr>
              <w:rPr>
                <w:sz w:val="20"/>
                <w:szCs w:val="20"/>
              </w:rPr>
            </w:pPr>
            <w:proofErr w:type="gramStart"/>
            <w:r w:rsidRPr="005B63A9">
              <w:rPr>
                <w:sz w:val="20"/>
                <w:szCs w:val="20"/>
              </w:rPr>
              <w:t>а</w:t>
            </w:r>
            <w:proofErr w:type="gramEnd"/>
            <w:r w:rsidRPr="005B63A9">
              <w:rPr>
                <w:sz w:val="20"/>
                <w:szCs w:val="20"/>
              </w:rPr>
              <w:t xml:space="preserve">) Если на земельном участке установили несоответствия об изнашиваниях согласно § 16 п. 1.8 для фиктивной стоимости приобретения, и если до 31 марта 2012 он не облагался налогом, то доходы от изменения стоимости до и с момента первого использования приобретенных доходов высчитываются определенным образом: </w:t>
            </w:r>
          </w:p>
          <w:p w:rsidR="005B63A9" w:rsidRPr="005B63A9" w:rsidRDefault="005B63A9" w:rsidP="005B63A9">
            <w:pPr>
              <w:pStyle w:val="a4"/>
              <w:numPr>
                <w:ilvl w:val="0"/>
                <w:numId w:val="5"/>
              </w:numPr>
              <w:rPr>
                <w:sz w:val="20"/>
                <w:szCs w:val="20"/>
              </w:rPr>
            </w:pPr>
            <w:r w:rsidRPr="005B63A9">
              <w:rPr>
                <w:sz w:val="20"/>
                <w:szCs w:val="20"/>
              </w:rPr>
              <w:lastRenderedPageBreak/>
              <w:t>При изменениях стоимости до использования приобретенных доходов может использоваться п. 4, при этом выручка от продажи заменяется фиктивной стоимостью приобретения.</w:t>
            </w:r>
          </w:p>
          <w:p w:rsidR="005B63A9" w:rsidRPr="005B63A9" w:rsidRDefault="005B63A9" w:rsidP="005B63A9">
            <w:pPr>
              <w:pStyle w:val="a4"/>
              <w:numPr>
                <w:ilvl w:val="0"/>
                <w:numId w:val="5"/>
              </w:numPr>
              <w:rPr>
                <w:sz w:val="20"/>
                <w:szCs w:val="20"/>
              </w:rPr>
            </w:pPr>
            <w:r w:rsidRPr="005B63A9">
              <w:rPr>
                <w:sz w:val="20"/>
                <w:szCs w:val="20"/>
              </w:rPr>
              <w:t>При изменениях стоимости с начала использования приобретенных доходов используется п.3, при этом действительная выручка от продажи заменяется фиктивной стоимостью приобретения.</w:t>
            </w:r>
          </w:p>
          <w:p w:rsidR="005B63A9" w:rsidRPr="005B63A9" w:rsidRDefault="005B63A9" w:rsidP="005B63A9">
            <w:pPr>
              <w:rPr>
                <w:sz w:val="20"/>
                <w:szCs w:val="20"/>
              </w:rPr>
            </w:pPr>
            <w:proofErr w:type="gramStart"/>
            <w:r w:rsidRPr="005B63A9">
              <w:rPr>
                <w:sz w:val="20"/>
                <w:szCs w:val="20"/>
              </w:rPr>
              <w:t>б</w:t>
            </w:r>
            <w:proofErr w:type="gramEnd"/>
            <w:r w:rsidRPr="005B63A9">
              <w:rPr>
                <w:sz w:val="20"/>
                <w:szCs w:val="20"/>
              </w:rPr>
              <w:t xml:space="preserve">) Если согласно §4 п. 10.3 a в изложении до первого закона о стабилизации экономики, Вестник федерального законодательства № 22/2012, был извлечен земельный участок с увеличенной номинальной стоимостью или обесцененный земельный участок, при их продажи действует §4 п. 3a-3c соответственно. </w:t>
            </w:r>
          </w:p>
          <w:p w:rsidR="005B63A9" w:rsidRPr="005B63A9" w:rsidRDefault="005B63A9" w:rsidP="005B63A9">
            <w:pPr>
              <w:rPr>
                <w:sz w:val="20"/>
                <w:szCs w:val="20"/>
              </w:rPr>
            </w:pPr>
            <w:proofErr w:type="gramStart"/>
            <w:r w:rsidRPr="005B63A9">
              <w:rPr>
                <w:sz w:val="20"/>
                <w:szCs w:val="20"/>
              </w:rPr>
              <w:t>в</w:t>
            </w:r>
            <w:proofErr w:type="gramEnd"/>
            <w:r w:rsidRPr="005B63A9">
              <w:rPr>
                <w:sz w:val="20"/>
                <w:szCs w:val="20"/>
              </w:rPr>
              <w:t>) При продаже земельного участка, который находился в имуществе предприятия, предложенный по частичной стоимости, разница проходящих по счетам сумм между частичной стоимостью в момент выставления на продаж и стоимостью приобретения или стоимостью застройки считается доходами от частного отчуждения земельного участка. Выручкой от продажи считается частичная стоимость в момент выставления на продаж. Если земельный участок до 31 марта 2012 г. не облагался налогом или без выставления на продаж он бы и не облагался налогом, используется § 30 п. 4.</w:t>
            </w:r>
          </w:p>
          <w:p w:rsidR="005B63A9" w:rsidRPr="005B63A9" w:rsidRDefault="005B63A9" w:rsidP="005B63A9">
            <w:pPr>
              <w:rPr>
                <w:sz w:val="20"/>
                <w:szCs w:val="20"/>
              </w:rPr>
            </w:pPr>
            <w:r w:rsidRPr="005B63A9">
              <w:rPr>
                <w:sz w:val="20"/>
                <w:szCs w:val="20"/>
              </w:rPr>
              <w:t>(7) Если частное отчуждение земельного участка, который облагается специальной налоговой ставкой согласно § 30a п. 1, приводит за один календарный год к убыткам, эту ставку сокращают на 60% и равномерно распределяют на год возникновения убытков и последующие 4 года и выравнивают исключительно с доходов от сдачи в аренду. Налогоплательщик может подать прошение в налоговой декларации о том, чтобы вместо этого эти сокращенные убытки за год возникновения убытков выровняли с доходами от сдачи в аренду. Эти правила действуют и в случае применения регулируемого налогообложения (§ 30a п. 2).</w:t>
            </w:r>
          </w:p>
          <w:p w:rsidR="005B63A9" w:rsidRPr="005B63A9" w:rsidRDefault="005B63A9" w:rsidP="005B63A9">
            <w:pPr>
              <w:rPr>
                <w:sz w:val="20"/>
                <w:szCs w:val="20"/>
              </w:rPr>
            </w:pPr>
            <w:r w:rsidRPr="005B63A9">
              <w:rPr>
                <w:sz w:val="20"/>
                <w:szCs w:val="20"/>
              </w:rPr>
              <w:t>(8) Подоходный налог, который не действует при отчуждении земельного участка, сокращается в размере возникшего двойного обложения налогом доходов от отчуждения земельного участка по требованию или имеет место полное освобождение от подоходного налога, если налогоплательщик в связи с бесплатным получением земельного участка уплатил на протяжении последних трех лет налог с наследства или налог с дарений, налог, взимаемый при покупке земельного участка, или налог на основание фонда.</w:t>
            </w:r>
          </w:p>
          <w:p w:rsidR="005B63A9" w:rsidRPr="005B63A9" w:rsidRDefault="005B63A9">
            <w:pPr>
              <w:rPr>
                <w:sz w:val="20"/>
                <w:szCs w:val="20"/>
              </w:rPr>
            </w:pPr>
          </w:p>
        </w:tc>
      </w:tr>
    </w:tbl>
    <w:p w:rsidR="0081675B" w:rsidRPr="005B63A9" w:rsidRDefault="0081675B">
      <w:pPr>
        <w:rPr>
          <w:sz w:val="20"/>
          <w:szCs w:val="20"/>
        </w:rPr>
      </w:pPr>
    </w:p>
    <w:sectPr w:rsidR="0081675B" w:rsidRPr="005B6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34BF0"/>
    <w:multiLevelType w:val="multilevel"/>
    <w:tmpl w:val="F0F6C9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8A1697"/>
    <w:multiLevelType w:val="multilevel"/>
    <w:tmpl w:val="884C3B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212428"/>
    <w:multiLevelType w:val="multilevel"/>
    <w:tmpl w:val="BC0490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604B6F"/>
    <w:multiLevelType w:val="multilevel"/>
    <w:tmpl w:val="5B5C7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520313"/>
    <w:multiLevelType w:val="hybridMultilevel"/>
    <w:tmpl w:val="614C2DF6"/>
    <w:lvl w:ilvl="0" w:tplc="49F00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A9"/>
    <w:rsid w:val="005B63A9"/>
    <w:rsid w:val="00770507"/>
    <w:rsid w:val="0081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9C366-6672-4801-B9C9-F8C8854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3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5B63A9"/>
    <w:rPr>
      <w:rFonts w:ascii="Times New Roman" w:eastAsia="Times New Roman" w:hAnsi="Times New Roman" w:cs="Times New Roman"/>
      <w:sz w:val="19"/>
      <w:szCs w:val="19"/>
      <w:shd w:val="clear" w:color="auto" w:fill="FFFFFF"/>
    </w:rPr>
  </w:style>
  <w:style w:type="character" w:customStyle="1" w:styleId="4">
    <w:name w:val="Основной текст (4)_"/>
    <w:basedOn w:val="a0"/>
    <w:link w:val="40"/>
    <w:rsid w:val="005B63A9"/>
    <w:rPr>
      <w:rFonts w:ascii="Times New Roman" w:eastAsia="Times New Roman" w:hAnsi="Times New Roman" w:cs="Times New Roman"/>
      <w:b/>
      <w:bCs/>
      <w:sz w:val="19"/>
      <w:szCs w:val="19"/>
      <w:shd w:val="clear" w:color="auto" w:fill="FFFFFF"/>
    </w:rPr>
  </w:style>
  <w:style w:type="character" w:customStyle="1" w:styleId="5">
    <w:name w:val="Основной текст (5)_"/>
    <w:basedOn w:val="a0"/>
    <w:link w:val="50"/>
    <w:rsid w:val="005B63A9"/>
    <w:rPr>
      <w:rFonts w:ascii="Times New Roman" w:eastAsia="Times New Roman" w:hAnsi="Times New Roman" w:cs="Times New Roman"/>
      <w:sz w:val="16"/>
      <w:szCs w:val="16"/>
      <w:shd w:val="clear" w:color="auto" w:fill="FFFFFF"/>
    </w:rPr>
  </w:style>
  <w:style w:type="character" w:customStyle="1" w:styleId="595pt">
    <w:name w:val="Основной текст (5) + 9;5 pt"/>
    <w:basedOn w:val="5"/>
    <w:rsid w:val="005B63A9"/>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6">
    <w:name w:val="Основной текст (6)_"/>
    <w:basedOn w:val="a0"/>
    <w:link w:val="60"/>
    <w:rsid w:val="005B63A9"/>
    <w:rPr>
      <w:rFonts w:ascii="Candara" w:eastAsia="Candara" w:hAnsi="Candara" w:cs="Candara"/>
      <w:sz w:val="12"/>
      <w:szCs w:val="12"/>
      <w:shd w:val="clear" w:color="auto" w:fill="FFFFFF"/>
    </w:rPr>
  </w:style>
  <w:style w:type="character" w:customStyle="1" w:styleId="21pt">
    <w:name w:val="Основной текст (2) + Интервал 1 pt"/>
    <w:basedOn w:val="2"/>
    <w:rsid w:val="005B63A9"/>
    <w:rPr>
      <w:rFonts w:ascii="Times New Roman" w:eastAsia="Times New Roman" w:hAnsi="Times New Roman" w:cs="Times New Roman"/>
      <w:color w:val="000000"/>
      <w:spacing w:val="30"/>
      <w:w w:val="100"/>
      <w:position w:val="0"/>
      <w:sz w:val="19"/>
      <w:szCs w:val="19"/>
      <w:shd w:val="clear" w:color="auto" w:fill="FFFFFF"/>
      <w:lang w:val="de-DE" w:eastAsia="de-DE" w:bidi="de-DE"/>
    </w:rPr>
  </w:style>
  <w:style w:type="paragraph" w:customStyle="1" w:styleId="20">
    <w:name w:val="Основной текст (2)"/>
    <w:basedOn w:val="a"/>
    <w:link w:val="2"/>
    <w:rsid w:val="005B63A9"/>
    <w:pPr>
      <w:widowControl w:val="0"/>
      <w:shd w:val="clear" w:color="auto" w:fill="FFFFFF"/>
      <w:spacing w:before="60" w:after="460" w:line="210" w:lineRule="exact"/>
      <w:ind w:hanging="200"/>
    </w:pPr>
    <w:rPr>
      <w:rFonts w:ascii="Times New Roman" w:eastAsia="Times New Roman" w:hAnsi="Times New Roman" w:cs="Times New Roman"/>
      <w:sz w:val="19"/>
      <w:szCs w:val="19"/>
    </w:rPr>
  </w:style>
  <w:style w:type="paragraph" w:customStyle="1" w:styleId="40">
    <w:name w:val="Основной текст (4)"/>
    <w:basedOn w:val="a"/>
    <w:link w:val="4"/>
    <w:rsid w:val="005B63A9"/>
    <w:pPr>
      <w:widowControl w:val="0"/>
      <w:shd w:val="clear" w:color="auto" w:fill="FFFFFF"/>
      <w:spacing w:before="60" w:after="60" w:line="210" w:lineRule="exact"/>
      <w:jc w:val="center"/>
    </w:pPr>
    <w:rPr>
      <w:rFonts w:ascii="Times New Roman" w:eastAsia="Times New Roman" w:hAnsi="Times New Roman" w:cs="Times New Roman"/>
      <w:b/>
      <w:bCs/>
      <w:sz w:val="19"/>
      <w:szCs w:val="19"/>
    </w:rPr>
  </w:style>
  <w:style w:type="paragraph" w:customStyle="1" w:styleId="50">
    <w:name w:val="Основной текст (5)"/>
    <w:basedOn w:val="a"/>
    <w:link w:val="5"/>
    <w:rsid w:val="005B63A9"/>
    <w:pPr>
      <w:widowControl w:val="0"/>
      <w:shd w:val="clear" w:color="auto" w:fill="FFFFFF"/>
      <w:spacing w:before="60" w:after="60" w:line="216" w:lineRule="exact"/>
      <w:ind w:hanging="200"/>
      <w:jc w:val="both"/>
    </w:pPr>
    <w:rPr>
      <w:rFonts w:ascii="Times New Roman" w:eastAsia="Times New Roman" w:hAnsi="Times New Roman" w:cs="Times New Roman"/>
      <w:sz w:val="16"/>
      <w:szCs w:val="16"/>
    </w:rPr>
  </w:style>
  <w:style w:type="paragraph" w:customStyle="1" w:styleId="60">
    <w:name w:val="Основной текст (6)"/>
    <w:basedOn w:val="a"/>
    <w:link w:val="6"/>
    <w:rsid w:val="005B63A9"/>
    <w:pPr>
      <w:widowControl w:val="0"/>
      <w:shd w:val="clear" w:color="auto" w:fill="FFFFFF"/>
      <w:spacing w:after="620" w:line="146" w:lineRule="exact"/>
      <w:jc w:val="both"/>
    </w:pPr>
    <w:rPr>
      <w:rFonts w:ascii="Candara" w:eastAsia="Candara" w:hAnsi="Candara" w:cs="Candara"/>
      <w:sz w:val="12"/>
      <w:szCs w:val="12"/>
    </w:rPr>
  </w:style>
  <w:style w:type="paragraph" w:styleId="a4">
    <w:name w:val="List Paragraph"/>
    <w:basedOn w:val="a"/>
    <w:uiPriority w:val="34"/>
    <w:qFormat/>
    <w:rsid w:val="005B6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2084</Words>
  <Characters>11880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2017-06-06T08:12:00Z</dcterms:created>
  <dcterms:modified xsi:type="dcterms:W3CDTF">2017-06-06T08:13:00Z</dcterms:modified>
</cp:coreProperties>
</file>